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60" w:rsidRDefault="009D0DE7" w:rsidP="009D0DE7">
      <w:pPr>
        <w:pStyle w:val="Heading1"/>
        <w:jc w:val="center"/>
        <w:rPr>
          <w:rFonts w:asciiTheme="minorHAnsi" w:hAnsiTheme="minorHAnsi"/>
          <w:b/>
          <w:color w:val="auto"/>
        </w:rPr>
      </w:pPr>
      <w:r w:rsidRPr="00667376">
        <w:rPr>
          <w:rFonts w:asciiTheme="minorHAnsi" w:hAnsiTheme="minorHAnsi"/>
          <w:b/>
          <w:color w:val="auto"/>
        </w:rPr>
        <w:t>Staff Council Nomination</w:t>
      </w:r>
      <w:r w:rsidR="008416AB">
        <w:rPr>
          <w:rFonts w:asciiTheme="minorHAnsi" w:hAnsiTheme="minorHAnsi"/>
          <w:b/>
          <w:color w:val="auto"/>
        </w:rPr>
        <w:t xml:space="preserve"> Form</w:t>
      </w:r>
    </w:p>
    <w:p w:rsidR="007871AA" w:rsidRPr="007871AA" w:rsidRDefault="008C0D2F" w:rsidP="007871AA">
      <w:pPr>
        <w:jc w:val="center"/>
        <w:rPr>
          <w:b/>
          <w:sz w:val="32"/>
        </w:rPr>
      </w:pPr>
      <w:r>
        <w:rPr>
          <w:b/>
          <w:sz w:val="32"/>
        </w:rPr>
        <w:t>2022</w:t>
      </w:r>
    </w:p>
    <w:p w:rsidR="009D0DE7" w:rsidRDefault="009D0DE7" w:rsidP="009D0DE7"/>
    <w:p w:rsidR="009D0DE7" w:rsidRPr="009D0DE7" w:rsidRDefault="009D0DE7" w:rsidP="009D0DE7">
      <w:r w:rsidRPr="009D0DE7">
        <w:rPr>
          <w:rFonts w:cs="Arial"/>
          <w:sz w:val="24"/>
          <w:szCs w:val="24"/>
        </w:rPr>
        <w:t>To ensure a balanced representation of all university departments on Staff Council, the council members are categorized into four (4) groups, with three (3) members serving in each group:</w:t>
      </w:r>
    </w:p>
    <w:p w:rsidR="009D0DE7" w:rsidRDefault="00E067EE" w:rsidP="0091744E">
      <w:r>
        <w:t xml:space="preserve">(Please note, </w:t>
      </w:r>
      <w:r w:rsidR="007871AA">
        <w:t>this year only individuals from Group A and Group D can be nominated</w:t>
      </w:r>
      <w:r>
        <w:t>.)</w:t>
      </w:r>
    </w:p>
    <w:p w:rsidR="009D0DE7" w:rsidRDefault="009D0DE7" w:rsidP="00917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91744E" w:rsidTr="008F0E25">
        <w:tc>
          <w:tcPr>
            <w:tcW w:w="125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744E" w:rsidRPr="009D0DE7" w:rsidRDefault="007C47DF" w:rsidP="0091744E">
            <w:pPr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Group A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C0D2F" w:rsidRPr="008C0D2F" w:rsidRDefault="008C0D2F" w:rsidP="008C0D2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Athletics</w:t>
            </w:r>
          </w:p>
        </w:tc>
      </w:tr>
      <w:tr w:rsidR="0091744E" w:rsidTr="00A726D1">
        <w:tc>
          <w:tcPr>
            <w:tcW w:w="12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744E" w:rsidRPr="009D0DE7" w:rsidRDefault="0091744E" w:rsidP="0091744E">
            <w:r w:rsidRPr="009D0DE7">
              <w:rPr>
                <w:rFonts w:cs="Arial"/>
                <w:b/>
                <w:sz w:val="24"/>
                <w:szCs w:val="24"/>
              </w:rPr>
              <w:t>Group B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744E" w:rsidRPr="008C0D2F" w:rsidRDefault="008C0D2F" w:rsidP="00917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Life,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Residents’ life, Student Engagement,</w:t>
            </w:r>
            <w:r>
              <w:rPr>
                <w:rFonts w:ascii="Calibri" w:hAnsi="Calibri" w:cs="Calibri"/>
                <w:color w:val="000000"/>
              </w:rPr>
              <w:t xml:space="preserve"> Spiritual L</w:t>
            </w:r>
            <w:r>
              <w:rPr>
                <w:rFonts w:ascii="Calibri" w:hAnsi="Calibri" w:cs="Calibri"/>
                <w:color w:val="000000"/>
              </w:rPr>
              <w:t>ife,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Student Success, CCECC, Health Services, Academics (Library, Aviation(FBO), Equestrian, Nursing)</w:t>
            </w:r>
          </w:p>
        </w:tc>
      </w:tr>
      <w:tr w:rsidR="0091744E" w:rsidTr="00A726D1">
        <w:tc>
          <w:tcPr>
            <w:tcW w:w="125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1744E" w:rsidRPr="009D0DE7" w:rsidRDefault="0091744E" w:rsidP="0091744E">
            <w:r w:rsidRPr="009D0DE7">
              <w:rPr>
                <w:rFonts w:cs="Arial"/>
                <w:b/>
                <w:sz w:val="24"/>
                <w:szCs w:val="24"/>
              </w:rPr>
              <w:t>Group C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1744E" w:rsidRPr="008C0D2F" w:rsidRDefault="008C0D2F" w:rsidP="00917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Averett Online, Admissions, Registrar’s Office, Front desk – Averett Central, President Office</w:t>
            </w:r>
          </w:p>
        </w:tc>
      </w:tr>
      <w:tr w:rsidR="0091744E" w:rsidTr="00A726D1">
        <w:tc>
          <w:tcPr>
            <w:tcW w:w="1255" w:type="dxa"/>
            <w:shd w:val="clear" w:color="auto" w:fill="C5E0B3" w:themeFill="accent6" w:themeFillTint="66"/>
          </w:tcPr>
          <w:p w:rsidR="0091744E" w:rsidRPr="009D0DE7" w:rsidRDefault="0091744E" w:rsidP="0091744E">
            <w:r w:rsidRPr="009D0DE7">
              <w:rPr>
                <w:rFonts w:cs="Arial"/>
                <w:b/>
                <w:sz w:val="24"/>
                <w:szCs w:val="24"/>
              </w:rPr>
              <w:t>Group D</w:t>
            </w:r>
          </w:p>
        </w:tc>
        <w:tc>
          <w:tcPr>
            <w:tcW w:w="8095" w:type="dxa"/>
            <w:shd w:val="clear" w:color="auto" w:fill="C5E0B3" w:themeFill="accent6" w:themeFillTint="66"/>
          </w:tcPr>
          <w:p w:rsidR="0091744E" w:rsidRPr="008C0D2F" w:rsidRDefault="008C0D2F" w:rsidP="00917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Finical Aid, Business Office, IT -Information Technology, HR – Human Resources, IR – Institutional research, IA - Philanthropy, Communication/Marketing, Events, Mailroom, Compliance,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</w:tbl>
    <w:p w:rsidR="0091744E" w:rsidRDefault="0091744E" w:rsidP="0091744E"/>
    <w:p w:rsidR="009D0DE7" w:rsidRDefault="009D0DE7" w:rsidP="0091744E">
      <w:pPr>
        <w:rPr>
          <w:sz w:val="24"/>
          <w:szCs w:val="24"/>
        </w:rPr>
      </w:pPr>
      <w:r w:rsidRPr="009D0DE7">
        <w:rPr>
          <w:sz w:val="24"/>
          <w:szCs w:val="24"/>
        </w:rPr>
        <w:t xml:space="preserve">You are allowed to nominate any person from </w:t>
      </w:r>
      <w:r w:rsidR="00D151CE">
        <w:rPr>
          <w:sz w:val="24"/>
          <w:szCs w:val="24"/>
        </w:rPr>
        <w:t xml:space="preserve">Group </w:t>
      </w:r>
      <w:r w:rsidR="00D151CE">
        <w:rPr>
          <w:sz w:val="24"/>
          <w:szCs w:val="24"/>
        </w:rPr>
        <w:t xml:space="preserve">A, C, </w:t>
      </w:r>
      <w:r w:rsidR="00D151CE">
        <w:rPr>
          <w:sz w:val="24"/>
          <w:szCs w:val="24"/>
        </w:rPr>
        <w:t>&amp;</w:t>
      </w:r>
      <w:r w:rsidR="00D151CE">
        <w:rPr>
          <w:sz w:val="24"/>
          <w:szCs w:val="24"/>
        </w:rPr>
        <w:t xml:space="preserve"> D</w:t>
      </w:r>
      <w:r w:rsidR="00D151CE" w:rsidRPr="009D0DE7">
        <w:rPr>
          <w:sz w:val="24"/>
          <w:szCs w:val="24"/>
        </w:rPr>
        <w:t xml:space="preserve"> </w:t>
      </w:r>
      <w:r w:rsidRPr="009D0DE7">
        <w:rPr>
          <w:sz w:val="24"/>
          <w:szCs w:val="24"/>
        </w:rPr>
        <w:t>who is a f</w:t>
      </w:r>
      <w:r w:rsidR="00667376">
        <w:rPr>
          <w:sz w:val="24"/>
          <w:szCs w:val="24"/>
        </w:rPr>
        <w:t>u</w:t>
      </w:r>
      <w:r w:rsidRPr="009D0DE7">
        <w:rPr>
          <w:sz w:val="24"/>
          <w:szCs w:val="24"/>
        </w:rPr>
        <w:t>ll-time employee of Averett University</w:t>
      </w:r>
      <w:r>
        <w:rPr>
          <w:sz w:val="24"/>
          <w:szCs w:val="24"/>
        </w:rPr>
        <w:t xml:space="preserve"> and is not classified as a faculty member</w:t>
      </w:r>
      <w:r w:rsidR="00CC17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67376">
        <w:rPr>
          <w:sz w:val="24"/>
          <w:szCs w:val="24"/>
        </w:rPr>
        <w:t>r</w:t>
      </w:r>
      <w:r>
        <w:rPr>
          <w:sz w:val="24"/>
          <w:szCs w:val="24"/>
        </w:rPr>
        <w:t xml:space="preserve"> a member of President’s Council.</w:t>
      </w:r>
    </w:p>
    <w:p w:rsidR="009D0DE7" w:rsidRDefault="009D0DE7" w:rsidP="0091744E">
      <w:pPr>
        <w:rPr>
          <w:sz w:val="24"/>
          <w:szCs w:val="24"/>
        </w:rPr>
      </w:pPr>
    </w:p>
    <w:p w:rsidR="009D0DE7" w:rsidRDefault="00667376" w:rsidP="0091744E">
      <w:pPr>
        <w:rPr>
          <w:sz w:val="24"/>
          <w:szCs w:val="24"/>
        </w:rPr>
      </w:pPr>
      <w:r>
        <w:rPr>
          <w:sz w:val="24"/>
          <w:szCs w:val="24"/>
        </w:rPr>
        <w:t xml:space="preserve">Please make sure </w:t>
      </w:r>
      <w:r w:rsidR="00D764E1">
        <w:rPr>
          <w:sz w:val="24"/>
          <w:szCs w:val="24"/>
        </w:rPr>
        <w:t xml:space="preserve">your nominee(s) will be </w:t>
      </w:r>
      <w:r>
        <w:rPr>
          <w:sz w:val="24"/>
          <w:szCs w:val="24"/>
        </w:rPr>
        <w:t>willing to serve as a member of Staff Council and is also committed to the three year term if elected.</w:t>
      </w:r>
    </w:p>
    <w:p w:rsidR="00D764E1" w:rsidRDefault="00D764E1" w:rsidP="0091744E">
      <w:pPr>
        <w:rPr>
          <w:sz w:val="24"/>
          <w:szCs w:val="24"/>
        </w:rPr>
      </w:pPr>
    </w:p>
    <w:p w:rsidR="00D764E1" w:rsidRDefault="00D764E1" w:rsidP="0091744E">
      <w:pPr>
        <w:rPr>
          <w:sz w:val="24"/>
          <w:szCs w:val="24"/>
        </w:rPr>
      </w:pPr>
      <w:r>
        <w:rPr>
          <w:sz w:val="24"/>
          <w:szCs w:val="24"/>
        </w:rPr>
        <w:t xml:space="preserve">You do not have to nominate one from each group.  For example, </w:t>
      </w:r>
      <w:r w:rsidR="007B545B">
        <w:rPr>
          <w:sz w:val="24"/>
          <w:szCs w:val="24"/>
        </w:rPr>
        <w:t>your nominees may all come from the same department.  You are welcome to nominate as many individuals as you would like</w:t>
      </w:r>
      <w:r w:rsidR="007871AA">
        <w:rPr>
          <w:sz w:val="24"/>
          <w:szCs w:val="24"/>
        </w:rPr>
        <w:t xml:space="preserve">, as long as they are individuals from departments listed in Group </w:t>
      </w:r>
      <w:r w:rsidR="00D151CE">
        <w:rPr>
          <w:sz w:val="24"/>
          <w:szCs w:val="24"/>
        </w:rPr>
        <w:t>A, C, or D</w:t>
      </w:r>
      <w:r w:rsidR="007B545B">
        <w:rPr>
          <w:sz w:val="24"/>
          <w:szCs w:val="24"/>
        </w:rPr>
        <w:t>.</w:t>
      </w:r>
    </w:p>
    <w:p w:rsidR="007B545B" w:rsidRDefault="007B545B" w:rsidP="0091744E">
      <w:pPr>
        <w:rPr>
          <w:sz w:val="24"/>
          <w:szCs w:val="24"/>
        </w:rPr>
      </w:pPr>
    </w:p>
    <w:p w:rsidR="00591AA8" w:rsidRDefault="00591AA8" w:rsidP="0091744E">
      <w:pPr>
        <w:rPr>
          <w:sz w:val="24"/>
          <w:szCs w:val="24"/>
        </w:rPr>
      </w:pPr>
    </w:p>
    <w:p w:rsidR="00591AA8" w:rsidRDefault="00591AA8" w:rsidP="0091744E">
      <w:pPr>
        <w:rPr>
          <w:sz w:val="24"/>
          <w:szCs w:val="24"/>
        </w:rPr>
      </w:pPr>
      <w:r>
        <w:rPr>
          <w:sz w:val="24"/>
          <w:szCs w:val="24"/>
        </w:rPr>
        <w:t xml:space="preserve">Please click the </w:t>
      </w:r>
      <w:hyperlink r:id="rId5" w:history="1">
        <w:r w:rsidRPr="00591AA8">
          <w:rPr>
            <w:rStyle w:val="Hyperlink"/>
            <w:sz w:val="24"/>
            <w:szCs w:val="24"/>
          </w:rPr>
          <w:t>link here</w:t>
        </w:r>
      </w:hyperlink>
      <w:r>
        <w:rPr>
          <w:sz w:val="24"/>
          <w:szCs w:val="24"/>
        </w:rPr>
        <w:t xml:space="preserve"> to fill out a nomination form.</w:t>
      </w:r>
      <w:bookmarkStart w:id="0" w:name="_GoBack"/>
      <w:bookmarkEnd w:id="0"/>
    </w:p>
    <w:sectPr w:rsidR="0059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B7A"/>
    <w:multiLevelType w:val="hybridMultilevel"/>
    <w:tmpl w:val="5D807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4E"/>
    <w:rsid w:val="00157B11"/>
    <w:rsid w:val="00191666"/>
    <w:rsid w:val="001A3244"/>
    <w:rsid w:val="00591AA8"/>
    <w:rsid w:val="00667376"/>
    <w:rsid w:val="006A1AE1"/>
    <w:rsid w:val="007871AA"/>
    <w:rsid w:val="007B545B"/>
    <w:rsid w:val="007C47DF"/>
    <w:rsid w:val="008416AB"/>
    <w:rsid w:val="00885279"/>
    <w:rsid w:val="008C0D2F"/>
    <w:rsid w:val="008C714A"/>
    <w:rsid w:val="008F0E25"/>
    <w:rsid w:val="0091744E"/>
    <w:rsid w:val="009D0DE7"/>
    <w:rsid w:val="00A726D1"/>
    <w:rsid w:val="00A807CE"/>
    <w:rsid w:val="00AB4760"/>
    <w:rsid w:val="00CC175D"/>
    <w:rsid w:val="00D151CE"/>
    <w:rsid w:val="00D764E1"/>
    <w:rsid w:val="00E067EE"/>
    <w:rsid w:val="00E708B9"/>
    <w:rsid w:val="00F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8417"/>
  <w15:chartTrackingRefBased/>
  <w15:docId w15:val="{AE5931B4-9F40-4B11-8EF9-65DDEF6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708B9"/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07C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44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1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0D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Ln1cxMLnKTXnqYTDrlbj3gdf8sJEHNSv7Y9T0C3L8i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Sheets</dc:creator>
  <cp:keywords/>
  <dc:description/>
  <cp:lastModifiedBy>Nathaniel Lake</cp:lastModifiedBy>
  <cp:revision>4</cp:revision>
  <cp:lastPrinted>2018-04-10T15:35:00Z</cp:lastPrinted>
  <dcterms:created xsi:type="dcterms:W3CDTF">2022-05-17T19:49:00Z</dcterms:created>
  <dcterms:modified xsi:type="dcterms:W3CDTF">2022-05-17T20:34:00Z</dcterms:modified>
</cp:coreProperties>
</file>